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2017</w:t>
      </w:r>
      <w:r w:rsidRPr="00915F20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秋季學期交換生申請資訊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關老師，您好：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本校自即日起啟動</w:t>
      </w:r>
      <w:r w:rsidRPr="00915F20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2017</w:t>
      </w:r>
      <w:r w:rsidRPr="00915F20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秋季學期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交換生招募作業，歡迎貴校選派推薦優秀學生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(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或依協議實際人數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)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前來本校交換，研修一學期至一學年，並且體驗台灣文化，截止日期至</w:t>
      </w:r>
      <w:r w:rsidRPr="00915F20">
        <w:rPr>
          <w:rFonts w:ascii="Verdana" w:eastAsia="宋体" w:hAnsi="Verdana" w:cs="宋体"/>
          <w:b/>
          <w:bCs/>
          <w:color w:val="FF0000"/>
          <w:kern w:val="0"/>
          <w:sz w:val="20"/>
          <w:szCs w:val="20"/>
        </w:rPr>
        <w:t>4/30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填報網址：</w:t>
      </w:r>
      <w:hyperlink r:id="rId4" w:tgtFrame="_blank" w:history="1">
        <w:r w:rsidRPr="00915F20">
          <w:rPr>
            <w:rFonts w:ascii="Verdana" w:eastAsia="宋体" w:hAnsi="Verdana" w:cs="宋体"/>
            <w:color w:val="993300"/>
            <w:kern w:val="0"/>
            <w:sz w:val="20"/>
            <w:u w:val="single"/>
          </w:rPr>
          <w:t>https://www.wenjuan.com/s/QFbymq/</w:t>
        </w:r>
      </w:hyperlink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b/>
          <w:bCs/>
          <w:color w:val="FF0000"/>
          <w:kern w:val="0"/>
          <w:sz w:val="20"/>
          <w:szCs w:val="20"/>
        </w:rPr>
        <w:t> 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b/>
          <w:bCs/>
          <w:color w:val="FF0000"/>
          <w:kern w:val="0"/>
          <w:sz w:val="20"/>
          <w:szCs w:val="20"/>
        </w:rPr>
        <w:t>2017</w:t>
      </w:r>
      <w:r w:rsidRPr="00915F20">
        <w:rPr>
          <w:rFonts w:ascii="Verdana" w:eastAsia="宋体" w:hAnsi="Verdana" w:cs="宋体"/>
          <w:b/>
          <w:bCs/>
          <w:color w:val="FF0000"/>
          <w:kern w:val="0"/>
          <w:sz w:val="20"/>
          <w:szCs w:val="20"/>
        </w:rPr>
        <w:t>秋季學期</w:t>
      </w:r>
      <w:r w:rsidRPr="00915F20">
        <w:rPr>
          <w:rFonts w:ascii="Verdana" w:eastAsia="宋体" w:hAnsi="Verdana" w:cs="宋体"/>
          <w:b/>
          <w:bCs/>
          <w:color w:val="FF0000"/>
          <w:kern w:val="0"/>
          <w:sz w:val="20"/>
          <w:szCs w:val="20"/>
        </w:rPr>
        <w:t>(1061</w:t>
      </w:r>
      <w:r w:rsidRPr="00915F20">
        <w:rPr>
          <w:rFonts w:ascii="Verdana" w:eastAsia="宋体" w:hAnsi="Verdana" w:cs="宋体"/>
          <w:b/>
          <w:bCs/>
          <w:color w:val="FF0000"/>
          <w:kern w:val="0"/>
          <w:sz w:val="20"/>
          <w:szCs w:val="20"/>
        </w:rPr>
        <w:t>學期</w:t>
      </w:r>
      <w:r w:rsidRPr="00915F20">
        <w:rPr>
          <w:rFonts w:ascii="Verdana" w:eastAsia="宋体" w:hAnsi="Verdana" w:cs="宋体"/>
          <w:b/>
          <w:bCs/>
          <w:color w:val="FF0000"/>
          <w:kern w:val="0"/>
          <w:sz w:val="20"/>
          <w:szCs w:val="20"/>
        </w:rPr>
        <w:t>)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b/>
          <w:bCs/>
          <w:color w:val="FF0000"/>
          <w:kern w:val="0"/>
          <w:sz w:val="20"/>
          <w:szCs w:val="20"/>
        </w:rPr>
        <w:t>=</w:t>
      </w:r>
      <w:r w:rsidRPr="00915F20">
        <w:rPr>
          <w:rFonts w:ascii="Verdana" w:eastAsia="宋体" w:hAnsi="Verdana" w:cs="宋体"/>
          <w:b/>
          <w:bCs/>
          <w:color w:val="FF0000"/>
          <w:kern w:val="0"/>
          <w:sz w:val="20"/>
        </w:rPr>
        <w:t> </w:t>
      </w:r>
      <w:r w:rsidRPr="00915F20">
        <w:rPr>
          <w:rFonts w:ascii="Verdana" w:eastAsia="宋体" w:hAnsi="Verdana" w:cs="宋体"/>
          <w:b/>
          <w:bCs/>
          <w:color w:val="FF0000"/>
          <w:kern w:val="0"/>
          <w:sz w:val="20"/>
          <w:szCs w:val="20"/>
        </w:rPr>
        <w:t>重要時程安排</w:t>
      </w:r>
      <w:r w:rsidRPr="00915F20">
        <w:rPr>
          <w:rFonts w:ascii="Verdana" w:eastAsia="宋体" w:hAnsi="Verdana" w:cs="宋体"/>
          <w:b/>
          <w:bCs/>
          <w:color w:val="FF0000"/>
          <w:kern w:val="0"/>
          <w:sz w:val="20"/>
        </w:rPr>
        <w:t> </w:t>
      </w:r>
      <w:r w:rsidRPr="00915F20">
        <w:rPr>
          <w:rFonts w:ascii="Verdana" w:eastAsia="宋体" w:hAnsi="Verdana" w:cs="宋体"/>
          <w:b/>
          <w:bCs/>
          <w:color w:val="FF0000"/>
          <w:kern w:val="0"/>
          <w:sz w:val="20"/>
          <w:szCs w:val="20"/>
        </w:rPr>
        <w:t>=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1.</w:t>
      </w:r>
      <w:r w:rsidRPr="00915F20">
        <w:rPr>
          <w:rFonts w:ascii="Verdana" w:eastAsia="宋体" w:hAnsi="Verdana" w:cs="宋体"/>
          <w:color w:val="C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行程表起訖日期：</w:t>
      </w: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2017.9.7</w:t>
      </w: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（四）</w:t>
      </w: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- 2018.1.17</w:t>
      </w: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（三）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2.</w:t>
      </w:r>
      <w:r w:rsidRPr="00915F20">
        <w:rPr>
          <w:rFonts w:ascii="Verdana" w:eastAsia="宋体" w:hAnsi="Verdana" w:cs="宋体"/>
          <w:color w:val="C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接機與入住：</w:t>
      </w: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2016.9.7</w:t>
      </w: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（四）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3.</w:t>
      </w:r>
      <w:r w:rsidRPr="00915F20">
        <w:rPr>
          <w:rFonts w:ascii="Verdana" w:eastAsia="宋体" w:hAnsi="Verdana" w:cs="宋体"/>
          <w:color w:val="C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入學輔導說明會：</w:t>
      </w: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2016.9.8</w:t>
      </w: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（五）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4.</w:t>
      </w:r>
      <w:r w:rsidRPr="00915F20">
        <w:rPr>
          <w:rFonts w:ascii="Verdana" w:eastAsia="宋体" w:hAnsi="Verdana" w:cs="宋体"/>
          <w:color w:val="C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正式開學：</w:t>
      </w: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2016.9.11</w:t>
      </w:r>
      <w:r w:rsidRPr="00915F20">
        <w:rPr>
          <w:rFonts w:ascii="Verdana" w:eastAsia="宋体" w:hAnsi="Verdana" w:cs="宋体"/>
          <w:color w:val="C00000"/>
          <w:kern w:val="0"/>
          <w:sz w:val="20"/>
          <w:szCs w:val="20"/>
        </w:rPr>
        <w:t>（一）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【元智大學簡介】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ind w:firstLine="400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元智大學於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1989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年由遠東集團創辦人徐有庠先生起念於教育乃百年大計，為能培養與時俱進的人才而興辦學校。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2006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年，元智躋身為教育部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12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所頂尖大學之一員，為能持續享譽而激勵自我，精進於研究、教學與社會服務，成為快速崛起之臺灣高校之一。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 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智以「創新、品質、彈性」三特性優化自身的競爭優勢，並提供良好的校園環境：使學生樂於學習，以激發潛能並挑戰超越自我；使教師致力於啟發、引導學生追求真理與優良學術品質；使職員增進服務品質並促進個人成長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 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為貫徹「卓越、務實、宏觀、圓融」教育理念，元智大學以學生學習為中心，自「跨域、樂學、雙語大學」轉以「全球流通」（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Global Mobility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）為核心概念的大學，積極培育兼具「全球流通競爭力」與「終身樂學」的世界公民。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 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元智秀美校園位處北臺灣的科技走廊上，交通便利，距臺北僅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30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公里，桃園國際機場僅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12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公里。校園由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600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多名教職員與超過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9,000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名學生來自臺灣與全球各地的四面八方所湧聚而來，其中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1/3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學生為研究生，分佈於五學院：工程學院、電機通訊學院、人文社會學院、資訊學院與管理學院。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lastRenderedPageBreak/>
        <w:t> 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 w:hint="eastAsia"/>
          <w:color w:val="000000"/>
          <w:kern w:val="0"/>
          <w:sz w:val="20"/>
          <w:szCs w:val="20"/>
        </w:rPr>
        <w:t>榮譽：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ind w:left="480" w:hanging="480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Wingdings" w:eastAsia="宋体" w:hAnsi="Wingdings" w:cs="宋体"/>
          <w:color w:val="000000"/>
          <w:kern w:val="0"/>
          <w:sz w:val="20"/>
          <w:szCs w:val="20"/>
        </w:rPr>
        <w:t></w:t>
      </w:r>
      <w:r w:rsidRPr="00915F20">
        <w:rPr>
          <w:rFonts w:ascii="Wingdings" w:eastAsia="宋体" w:hAnsi="Wingdings" w:cs="宋体"/>
          <w:color w:val="000000"/>
          <w:kern w:val="0"/>
          <w:sz w:val="20"/>
          <w:szCs w:val="20"/>
        </w:rPr>
        <w:t></w:t>
      </w:r>
      <w:r w:rsidRPr="00915F20">
        <w:rPr>
          <w:rFonts w:ascii="Wingdings" w:eastAsia="宋体" w:hAnsi="Wingdings" w:cs="宋体"/>
          <w:color w:val="000000"/>
          <w:kern w:val="0"/>
          <w:sz w:val="20"/>
        </w:rPr>
        <w:t>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2016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年，元智大學獲泰晤士報評選為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  <w:shd w:val="clear" w:color="auto" w:fill="FFFFFF"/>
        </w:rPr>
        <w:t>金磚五國與新興經濟體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  <w:shd w:val="clear" w:color="auto" w:fill="FFFFFF"/>
        </w:rPr>
        <w:t>(BRICS &amp; Emerging Economics)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  <w:shd w:val="clear" w:color="auto" w:fill="FFFFFF"/>
        </w:rPr>
        <w:t>第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  <w:shd w:val="clear" w:color="auto" w:fill="FFFFFF"/>
        </w:rPr>
        <w:t>132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  <w:shd w:val="clear" w:color="auto" w:fill="FFFFFF"/>
        </w:rPr>
        <w:t>名最佳大學。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ind w:left="480" w:hanging="480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Wingdings" w:eastAsia="宋体" w:hAnsi="Wingdings" w:cs="宋体"/>
          <w:color w:val="000000"/>
          <w:kern w:val="0"/>
          <w:sz w:val="20"/>
          <w:szCs w:val="20"/>
        </w:rPr>
        <w:t></w:t>
      </w:r>
      <w:r w:rsidRPr="00915F20">
        <w:rPr>
          <w:rFonts w:ascii="Wingdings" w:eastAsia="宋体" w:hAnsi="Wingdings" w:cs="宋体"/>
          <w:color w:val="000000"/>
          <w:kern w:val="0"/>
          <w:sz w:val="20"/>
          <w:szCs w:val="20"/>
        </w:rPr>
        <w:t></w:t>
      </w:r>
      <w:r w:rsidRPr="00915F20">
        <w:rPr>
          <w:rFonts w:ascii="Wingdings" w:eastAsia="宋体" w:hAnsi="Wingdings" w:cs="宋体"/>
          <w:color w:val="000000"/>
          <w:kern w:val="0"/>
          <w:sz w:val="20"/>
        </w:rPr>
        <w:t>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2016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年，元智大學獲泰晤士報評選為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2015-2016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年全球最佳大學排行榜前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800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名。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ind w:left="480" w:hanging="480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Wingdings" w:eastAsia="宋体" w:hAnsi="Wingdings" w:cs="宋体"/>
          <w:color w:val="000000"/>
          <w:kern w:val="0"/>
          <w:sz w:val="20"/>
          <w:szCs w:val="20"/>
        </w:rPr>
        <w:t></w:t>
      </w:r>
      <w:r w:rsidRPr="00915F20">
        <w:rPr>
          <w:rFonts w:ascii="Wingdings" w:eastAsia="宋体" w:hAnsi="Wingdings" w:cs="宋体"/>
          <w:color w:val="000000"/>
          <w:kern w:val="0"/>
          <w:sz w:val="20"/>
          <w:szCs w:val="20"/>
        </w:rPr>
        <w:t></w:t>
      </w:r>
      <w:r w:rsidRPr="00915F20">
        <w:rPr>
          <w:rFonts w:ascii="Wingdings" w:eastAsia="宋体" w:hAnsi="Wingdings" w:cs="宋体"/>
          <w:color w:val="000000"/>
          <w:kern w:val="0"/>
          <w:sz w:val="20"/>
        </w:rPr>
        <w:t>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2015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年，元智大學獲選為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QS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亞洲頂尖大學排名榜前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250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名。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ind w:left="480" w:hanging="480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Wingdings" w:eastAsia="宋体" w:hAnsi="Wingdings" w:cs="宋体"/>
          <w:color w:val="000000"/>
          <w:kern w:val="0"/>
          <w:sz w:val="20"/>
          <w:szCs w:val="20"/>
        </w:rPr>
        <w:t></w:t>
      </w:r>
      <w:r w:rsidRPr="00915F20">
        <w:rPr>
          <w:rFonts w:ascii="Wingdings" w:eastAsia="宋体" w:hAnsi="Wingdings" w:cs="宋体"/>
          <w:color w:val="000000"/>
          <w:kern w:val="0"/>
          <w:sz w:val="20"/>
          <w:szCs w:val="20"/>
        </w:rPr>
        <w:t></w:t>
      </w:r>
      <w:r w:rsidRPr="00915F20">
        <w:rPr>
          <w:rFonts w:ascii="Wingdings" w:eastAsia="宋体" w:hAnsi="Wingdings" w:cs="宋体"/>
          <w:color w:val="000000"/>
          <w:kern w:val="0"/>
          <w:sz w:val="20"/>
        </w:rPr>
        <w:t>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2015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年，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元智大學獲評選為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  <w:shd w:val="clear" w:color="auto" w:fill="FFFFFF"/>
        </w:rPr>
        <w:t>世界大學排名中心（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  <w:shd w:val="clear" w:color="auto" w:fill="FFFFFF"/>
        </w:rPr>
        <w:t>the Center for World University Rankings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  <w:shd w:val="clear" w:color="auto" w:fill="FFFFFF"/>
        </w:rPr>
        <w:t>）全球前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  <w:shd w:val="clear" w:color="auto" w:fill="FFFFFF"/>
        </w:rPr>
        <w:t>1,000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  <w:shd w:val="clear" w:color="auto" w:fill="FFFFFF"/>
        </w:rPr>
        <w:t>名最佳大學。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340" w:lineRule="atLeast"/>
        <w:ind w:left="480" w:hanging="480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Wingdings" w:eastAsia="宋体" w:hAnsi="Wingdings" w:cs="宋体"/>
          <w:color w:val="000000"/>
          <w:kern w:val="0"/>
          <w:sz w:val="20"/>
          <w:szCs w:val="20"/>
          <w:bdr w:val="none" w:sz="0" w:space="0" w:color="auto" w:frame="1"/>
        </w:rPr>
        <w:t></w:t>
      </w:r>
      <w:r w:rsidRPr="00915F20">
        <w:rPr>
          <w:rFonts w:ascii="Wingdings" w:eastAsia="宋体" w:hAnsi="Wingdings" w:cs="宋体"/>
          <w:color w:val="000000"/>
          <w:kern w:val="0"/>
          <w:sz w:val="20"/>
          <w:szCs w:val="20"/>
          <w:bdr w:val="none" w:sz="0" w:space="0" w:color="auto" w:frame="1"/>
        </w:rPr>
        <w:t></w:t>
      </w:r>
      <w:r w:rsidRPr="00915F20">
        <w:rPr>
          <w:rFonts w:ascii="Wingdings" w:eastAsia="宋体" w:hAnsi="Wingdings" w:cs="宋体"/>
          <w:color w:val="000000"/>
          <w:kern w:val="0"/>
          <w:sz w:val="20"/>
        </w:rPr>
        <w:t>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  <w:bdr w:val="none" w:sz="0" w:space="0" w:color="auto" w:frame="1"/>
        </w:rPr>
        <w:t>2012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  <w:bdr w:val="none" w:sz="0" w:space="0" w:color="auto" w:frame="1"/>
        </w:rPr>
        <w:t>年，管理學院獲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  <w:bdr w:val="none" w:sz="0" w:space="0" w:color="auto" w:frame="1"/>
        </w:rPr>
        <w:t>AACSB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  <w:bdr w:val="none" w:sz="0" w:space="0" w:color="auto" w:frame="1"/>
        </w:rPr>
        <w:t>國際商管學院認證，晉升全球頂尖商管學院之列。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【申請資訊】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招生本科生與研究生，每校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3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名。每名來臺研修一學期，至多一學年。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*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本科生：需修習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9-25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學分課程。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*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研究生：一學期至少一篇小論文。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=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繳交資料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=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31859C"/>
          <w:kern w:val="0"/>
          <w:sz w:val="20"/>
          <w:szCs w:val="20"/>
        </w:rPr>
        <w:t>元智大學交換生申請表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2.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在學證明。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3.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在校成績單。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4.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學生證彩色電子檔。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5.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身份證彩色電子檔。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6.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二吋彩色證件照電子檔。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7.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研究生須再提研修計畫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份。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8.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辦理足夠的意外傷害保險與醫療保險。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9.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其他證明，如獲獎證書等。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lastRenderedPageBreak/>
        <w:t>10.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辦理</w:t>
      </w:r>
      <w:r w:rsidRPr="00915F20">
        <w:rPr>
          <w:rFonts w:ascii="Verdana" w:eastAsia="宋体" w:hAnsi="Verdana" w:cs="宋体"/>
          <w:color w:val="31859C"/>
          <w:kern w:val="0"/>
          <w:sz w:val="20"/>
          <w:szCs w:val="20"/>
        </w:rPr>
        <w:t>入臺證委託書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(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簽名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)-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拍照或掃瞄成電子檔。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11.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31859C"/>
          <w:kern w:val="0"/>
          <w:sz w:val="20"/>
          <w:szCs w:val="20"/>
        </w:rPr>
        <w:t>交換生匯總表</w:t>
      </w:r>
      <w:r w:rsidRPr="00915F20">
        <w:rPr>
          <w:rFonts w:ascii="Verdana" w:eastAsia="宋体" w:hAnsi="Verdana" w:cs="宋体"/>
          <w:color w:val="31859C"/>
          <w:kern w:val="0"/>
          <w:sz w:val="20"/>
          <w:szCs w:val="20"/>
        </w:rPr>
        <w:t>(</w:t>
      </w:r>
      <w:r w:rsidRPr="00915F20">
        <w:rPr>
          <w:rFonts w:ascii="Verdana" w:eastAsia="宋体" w:hAnsi="Verdana" w:cs="宋体"/>
          <w:color w:val="31859C"/>
          <w:kern w:val="0"/>
          <w:sz w:val="20"/>
          <w:szCs w:val="20"/>
        </w:rPr>
        <w:t>以學校為單位</w:t>
      </w:r>
      <w:r w:rsidRPr="00915F20">
        <w:rPr>
          <w:rFonts w:ascii="Verdana" w:eastAsia="宋体" w:hAnsi="Verdana" w:cs="宋体"/>
          <w:color w:val="31859C"/>
          <w:kern w:val="0"/>
          <w:sz w:val="20"/>
          <w:szCs w:val="20"/>
        </w:rPr>
        <w:t>)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【費用標準】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b/>
          <w:bCs/>
          <w:color w:val="215868"/>
          <w:kern w:val="0"/>
          <w:sz w:val="20"/>
          <w:szCs w:val="20"/>
        </w:rPr>
        <w:t>主要依與各校的協議書而定，區分為免費與收費項目，若有收費，則依以下收費標準。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=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學分費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=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因各學院不同，且以新台幣為單位。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本科生每學期學雜費標準：學分數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*1.5*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學分費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+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雜費</w:t>
      </w:r>
      <w:r w:rsidRPr="00915F20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≦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學雜費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*80%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工程、電通、資訊學院：學分費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-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每學分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1,510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元；雜費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14,720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2.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管理學院：學分費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-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每學分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1,400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元；雜費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9,400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3.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人文社會學院：學分費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-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每學分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1,390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元；雜費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8,680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碩博生學雜費標準：基本上為免學雜費，若各學院有自行收費標準，依學院標準計算。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=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住宿費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=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本科生：男一舍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/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女一舍為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9,200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元。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(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不含寒暑假，若在學期日程外，每日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100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)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2.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碩博生：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12,000-15,600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ind w:left="200" w:hanging="200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3.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另本校也有外宿選擇，請選本校簽約的校外賃居點，皆為學務處探訪且符合安全的地點，但價格則依各賃居點而有不同，可選擇單人房或雙人房，費用每人每月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3,000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元至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6,600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ind w:left="200" w:hanging="200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=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其他費用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=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入臺證辦理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600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2.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健康檢查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700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3.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接／送機巴士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200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元，學期末視人數決定能否有巴士送機。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4.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元智－桃園　單趟計程車車資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約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400-600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08"/>
        <w:gridCol w:w="2114"/>
      </w:tblGrid>
      <w:tr w:rsidR="00915F20" w:rsidRPr="00915F20" w:rsidTr="00915F20">
        <w:tc>
          <w:tcPr>
            <w:tcW w:w="6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F20" w:rsidRPr="00915F20" w:rsidRDefault="00915F20" w:rsidP="00915F20">
            <w:pPr>
              <w:widowControl/>
              <w:spacing w:before="100" w:beforeAutospacing="1" w:after="100" w:afterAutospacing="1" w:line="24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20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【入臺、抵校相關注意事項】</w:t>
            </w:r>
          </w:p>
          <w:p w:rsidR="00915F20" w:rsidRPr="00915F20" w:rsidRDefault="00915F20" w:rsidP="00915F20">
            <w:pPr>
              <w:widowControl/>
              <w:spacing w:before="100" w:beforeAutospacing="1" w:after="100" w:afterAutospacing="1" w:line="24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</w:t>
            </w:r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</w:rPr>
              <w:t> </w:t>
            </w:r>
            <w:r w:rsidRPr="00915F2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提供航班資訊：</w:t>
            </w:r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instrText xml:space="preserve"> HYPERLINK "https://www.wenjuan.com/s/uyiEji/" \t "_blank" </w:instrText>
            </w:r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 w:rsidRPr="00915F20">
              <w:rPr>
                <w:rFonts w:ascii="宋体" w:eastAsia="宋体" w:hAnsi="宋体" w:cs="宋体"/>
                <w:color w:val="993300"/>
                <w:kern w:val="0"/>
                <w:sz w:val="20"/>
                <w:u w:val="single"/>
              </w:rPr>
              <w:t>https://www.wenjuan.com/s/uyiEji/</w:t>
            </w:r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</w:p>
          <w:p w:rsidR="00915F20" w:rsidRPr="00915F20" w:rsidRDefault="00915F20" w:rsidP="00915F20">
            <w:pPr>
              <w:widowControl/>
              <w:spacing w:before="100" w:beforeAutospacing="1" w:after="100" w:afterAutospacing="1" w:line="24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  (</w:t>
            </w:r>
            <w:proofErr w:type="spellStart"/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QRcode</w:t>
            </w:r>
            <w:proofErr w:type="spellEnd"/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  <w:p w:rsidR="00915F20" w:rsidRPr="00915F20" w:rsidRDefault="00915F20" w:rsidP="00915F20">
            <w:pPr>
              <w:widowControl/>
              <w:spacing w:before="100" w:beforeAutospacing="1" w:after="100" w:afterAutospacing="1" w:line="24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2.</w:t>
            </w:r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</w:rPr>
              <w:t> </w:t>
            </w:r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備妥機票票根。</w:t>
            </w:r>
          </w:p>
          <w:p w:rsidR="00915F20" w:rsidRPr="00915F20" w:rsidRDefault="00915F20" w:rsidP="00915F20">
            <w:pPr>
              <w:widowControl/>
              <w:spacing w:before="100" w:beforeAutospacing="1" w:after="100" w:afterAutospacing="1" w:line="24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3.</w:t>
            </w:r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</w:rPr>
              <w:t> </w:t>
            </w:r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抵達桃園機場後，辦理手機、兌換外幣與搭車到元智大學宿舍。</w:t>
            </w:r>
          </w:p>
          <w:p w:rsidR="00915F20" w:rsidRPr="00915F20" w:rsidRDefault="00915F20" w:rsidP="00915F20">
            <w:pPr>
              <w:widowControl/>
              <w:spacing w:before="100" w:beforeAutospacing="1" w:after="100" w:afterAutospacing="1" w:line="24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4.</w:t>
            </w:r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</w:rPr>
              <w:t> </w:t>
            </w:r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辦理宿舍入住後，採買生活用品。</w:t>
            </w:r>
          </w:p>
          <w:p w:rsidR="00915F20" w:rsidRPr="00915F20" w:rsidRDefault="00915F20" w:rsidP="00915F20">
            <w:pPr>
              <w:widowControl/>
              <w:spacing w:before="100" w:beforeAutospacing="1" w:after="100" w:afterAutospacing="1" w:line="24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5F2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F20" w:rsidRPr="00915F20" w:rsidRDefault="00915F20" w:rsidP="00915F20">
            <w:pPr>
              <w:widowControl/>
              <w:spacing w:before="100" w:beforeAutospacing="1" w:after="100" w:afterAutospacing="1" w:line="244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  <w:r w:rsidRPr="00915F20">
        <w:rPr>
          <w:rFonts w:ascii="Verdana" w:eastAsia="宋体" w:hAnsi="Verdana" w:cs="宋体"/>
          <w:b/>
          <w:bCs/>
          <w:color w:val="000000"/>
          <w:kern w:val="0"/>
          <w:sz w:val="20"/>
          <w:szCs w:val="20"/>
        </w:rPr>
        <w:t>【其他資訊】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元智大學課程查詢系統：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hyperlink r:id="rId5" w:tgtFrame="_blank" w:history="1">
        <w:r w:rsidRPr="00915F20">
          <w:rPr>
            <w:rFonts w:ascii="Verdana" w:eastAsia="宋体" w:hAnsi="Verdana" w:cs="宋体"/>
            <w:color w:val="993300"/>
            <w:kern w:val="0"/>
            <w:sz w:val="20"/>
            <w:u w:val="single"/>
          </w:rPr>
          <w:t>https://portal.yzu.edu.tw/cosSelect/Index.aspx</w:t>
        </w:r>
      </w:hyperlink>
      <w:r w:rsidRPr="00915F20">
        <w:rPr>
          <w:rFonts w:ascii="Verdana" w:eastAsia="宋体" w:hAnsi="Verdana" w:cs="宋体" w:hint="eastAsia"/>
          <w:color w:val="000000"/>
          <w:kern w:val="0"/>
          <w:sz w:val="20"/>
          <w:szCs w:val="20"/>
        </w:rPr>
        <w:t>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2.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學系必選修科目與輔系科目表：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 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hyperlink r:id="rId6" w:tgtFrame="_blank" w:history="1">
        <w:r w:rsidRPr="00915F20">
          <w:rPr>
            <w:rFonts w:ascii="Verdana" w:eastAsia="宋体" w:hAnsi="Verdana" w:cs="宋体"/>
            <w:color w:val="993300"/>
            <w:kern w:val="0"/>
            <w:sz w:val="20"/>
            <w:u w:val="single"/>
          </w:rPr>
          <w:t>http://www.yzu.edu.tw/admin/aa/index.php/content/view/158/306/lang,tw/</w:t>
        </w:r>
      </w:hyperlink>
      <w:r w:rsidRPr="00915F20">
        <w:rPr>
          <w:rFonts w:ascii="Verdana" w:eastAsia="宋体" w:hAnsi="Verdana" w:cs="宋体" w:hint="eastAsia"/>
          <w:color w:val="000000"/>
          <w:kern w:val="0"/>
          <w:sz w:val="20"/>
          <w:szCs w:val="20"/>
        </w:rPr>
        <w:t>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3.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元智大學行事曆：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br/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hyperlink r:id="rId7" w:tgtFrame="_blank" w:history="1">
        <w:r w:rsidRPr="00915F20">
          <w:rPr>
            <w:rFonts w:ascii="Verdana" w:eastAsia="宋体" w:hAnsi="Verdana" w:cs="宋体"/>
            <w:color w:val="993300"/>
            <w:kern w:val="0"/>
            <w:sz w:val="20"/>
            <w:u w:val="single"/>
          </w:rPr>
          <w:t>http://www.yzu.edu.tw/admin/aa/index.php/content/view/119/236/lang,tw/</w:t>
        </w:r>
      </w:hyperlink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。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敬祝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健康平安！！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吳絲筠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敬上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吳絲筠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元智大學全球事務處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專員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lastRenderedPageBreak/>
        <w:t>TEL: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886-3-4638800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ext. 3282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FAX: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886-3-4624202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Email: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hyperlink r:id="rId8" w:tgtFrame="_blank" w:history="1">
        <w:r w:rsidRPr="00915F20">
          <w:rPr>
            <w:rFonts w:ascii="Verdana" w:eastAsia="宋体" w:hAnsi="Verdana" w:cs="宋体"/>
            <w:color w:val="993300"/>
            <w:kern w:val="0"/>
            <w:sz w:val="20"/>
            <w:u w:val="single"/>
          </w:rPr>
          <w:t>allison@saturn.yzu.edu.tw</w:t>
        </w:r>
      </w:hyperlink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32003</w:t>
      </w:r>
      <w:r w:rsidRPr="00915F20">
        <w:rPr>
          <w:rFonts w:ascii="Verdana" w:eastAsia="宋体" w:hAnsi="Verdana" w:cs="宋体"/>
          <w:color w:val="000000"/>
          <w:kern w:val="0"/>
          <w:sz w:val="20"/>
        </w:rPr>
        <w:t> </w:t>
      </w:r>
      <w:r w:rsidRPr="00915F20">
        <w:rPr>
          <w:rFonts w:ascii="Verdana" w:eastAsia="宋体" w:hAnsi="Verdana" w:cs="宋体" w:hint="eastAsia"/>
          <w:color w:val="000000"/>
          <w:kern w:val="0"/>
          <w:sz w:val="20"/>
          <w:szCs w:val="20"/>
        </w:rPr>
        <w:t>桃園市中壢區遠東路</w:t>
      </w: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135</w:t>
      </w:r>
      <w:r w:rsidRPr="00915F20">
        <w:rPr>
          <w:rFonts w:ascii="Verdana" w:eastAsia="宋体" w:hAnsi="Verdana" w:cs="宋体" w:hint="eastAsia"/>
          <w:color w:val="000000"/>
          <w:kern w:val="0"/>
          <w:sz w:val="20"/>
          <w:szCs w:val="20"/>
        </w:rPr>
        <w:t>號</w:t>
      </w:r>
    </w:p>
    <w:p w:rsidR="00915F20" w:rsidRPr="00915F20" w:rsidRDefault="00915F20" w:rsidP="00915F20">
      <w:pPr>
        <w:widowControl/>
        <w:shd w:val="clear" w:color="auto" w:fill="FFFFFF"/>
        <w:spacing w:before="100" w:beforeAutospacing="1" w:after="100" w:afterAutospacing="1" w:line="256" w:lineRule="atLeast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915F20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</w:p>
    <w:p w:rsidR="00D902E9" w:rsidRDefault="00D902E9"/>
    <w:sectPr w:rsidR="00D902E9" w:rsidSect="00D9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5F20"/>
    <w:rsid w:val="00915F20"/>
    <w:rsid w:val="00D9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F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5F20"/>
  </w:style>
  <w:style w:type="paragraph" w:styleId="a4">
    <w:name w:val="No Spacing"/>
    <w:basedOn w:val="a"/>
    <w:uiPriority w:val="1"/>
    <w:qFormat/>
    <w:rsid w:val="00915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15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ison@saturn.yzu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zu.edu.tw/admin/aa/index.php/content/view/119/236/lang,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zu.edu.tw/admin/aa/index.php/content/view/158/306/lang,tw/" TargetMode="External"/><Relationship Id="rId5" Type="http://schemas.openxmlformats.org/officeDocument/2006/relationships/hyperlink" Target="https://portal.yzu.edu.tw/cosSelect/Index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enjuan.com/s/QFbymq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关军锋</dc:creator>
  <cp:lastModifiedBy>汤玉明</cp:lastModifiedBy>
  <cp:revision>1</cp:revision>
  <dcterms:created xsi:type="dcterms:W3CDTF">2017-03-20T01:27:00Z</dcterms:created>
  <dcterms:modified xsi:type="dcterms:W3CDTF">2017-03-20T01:29:00Z</dcterms:modified>
</cp:coreProperties>
</file>